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50302" w14:textId="77777777" w:rsidR="003845CE" w:rsidRDefault="003845CE">
      <w:pPr>
        <w:spacing w:before="1600"/>
      </w:pPr>
    </w:p>
    <w:p w14:paraId="13D12478" w14:textId="77777777" w:rsidR="003845CE" w:rsidRDefault="00000000">
      <w:pPr>
        <w:jc w:val="center"/>
      </w:pPr>
      <w:r>
        <w:rPr>
          <w:rFonts w:ascii="Arial" w:eastAsia="Arial" w:hAnsi="Arial" w:cs="Arial"/>
          <w:b/>
          <w:bCs/>
          <w:color w:val="0F3D3A"/>
          <w:sz w:val="30"/>
          <w:szCs w:val="30"/>
        </w:rPr>
        <w:t>BILAL TRUE NORTH CO.</w:t>
      </w:r>
    </w:p>
    <w:p w14:paraId="5970C0AC" w14:textId="77777777" w:rsidR="003845CE" w:rsidRDefault="00000000">
      <w:pPr>
        <w:spacing w:before="100" w:after="500"/>
        <w:jc w:val="center"/>
      </w:pPr>
      <w:r>
        <w:rPr>
          <w:rFonts w:ascii="Calibri" w:eastAsia="Calibri" w:hAnsi="Calibri" w:cs="Calibri"/>
          <w:i/>
          <w:iCs/>
          <w:color w:val="555550"/>
          <w:sz w:val="22"/>
          <w:szCs w:val="22"/>
        </w:rPr>
        <w:t>Contracting &amp; Energy Solutions</w:t>
      </w:r>
    </w:p>
    <w:p w14:paraId="559C5F59" w14:textId="77777777" w:rsidR="003845CE" w:rsidRDefault="00000000">
      <w:pPr>
        <w:spacing w:before="300" w:after="200"/>
        <w:jc w:val="center"/>
      </w:pPr>
      <w:r>
        <w:rPr>
          <w:rFonts w:ascii="Arial" w:eastAsia="Arial" w:hAnsi="Arial" w:cs="Arial"/>
          <w:b/>
          <w:bCs/>
          <w:color w:val="0F3D3A"/>
          <w:sz w:val="44"/>
          <w:szCs w:val="44"/>
        </w:rPr>
        <w:t>Quality, Health, Safety &amp; Environment</w:t>
      </w:r>
    </w:p>
    <w:p w14:paraId="6B02C381" w14:textId="77777777" w:rsidR="003845CE" w:rsidRDefault="00000000">
      <w:pPr>
        <w:spacing w:after="700"/>
        <w:jc w:val="center"/>
      </w:pPr>
      <w:r>
        <w:rPr>
          <w:rFonts w:ascii="Arial" w:eastAsia="Arial" w:hAnsi="Arial" w:cs="Arial"/>
          <w:b/>
          <w:bCs/>
          <w:color w:val="D85A30"/>
          <w:sz w:val="36"/>
          <w:szCs w:val="36"/>
        </w:rPr>
        <w:t>(QHSE) POLICY</w:t>
      </w:r>
    </w:p>
    <w:tbl>
      <w:tblPr>
        <w:tblW w:w="7000" w:type="dxa"/>
        <w:jc w:val="center"/>
        <w:tblBorders>
          <w:top w:val="single" w:sz="4" w:space="0" w:color="D9D2C0"/>
          <w:bottom w:val="single" w:sz="4" w:space="0" w:color="D9D2C0"/>
          <w:insideH w:val="single" w:sz="4" w:space="0" w:color="D9D2C0"/>
        </w:tblBorders>
        <w:tblCellMar>
          <w:left w:w="10" w:type="dxa"/>
          <w:right w:w="10" w:type="dxa"/>
        </w:tblCellMar>
        <w:tblLook w:val="04A0" w:firstRow="1" w:lastRow="0" w:firstColumn="1" w:lastColumn="0" w:noHBand="0" w:noVBand="1"/>
      </w:tblPr>
      <w:tblGrid>
        <w:gridCol w:w="3000"/>
        <w:gridCol w:w="4000"/>
      </w:tblGrid>
      <w:tr w:rsidR="003845CE" w14:paraId="157567AA" w14:textId="77777777">
        <w:tblPrEx>
          <w:tblCellMar>
            <w:top w:w="0" w:type="dxa"/>
            <w:bottom w:w="0" w:type="dxa"/>
          </w:tblCellMar>
        </w:tblPrEx>
        <w:trPr>
          <w:jc w:val="center"/>
        </w:trPr>
        <w:tc>
          <w:tcPr>
            <w:tcW w:w="3000" w:type="dxa"/>
            <w:tcMar>
              <w:top w:w="100" w:type="dxa"/>
              <w:left w:w="120" w:type="dxa"/>
              <w:bottom w:w="100" w:type="dxa"/>
              <w:right w:w="120" w:type="dxa"/>
            </w:tcMar>
          </w:tcPr>
          <w:p w14:paraId="64131476" w14:textId="77777777" w:rsidR="003845CE" w:rsidRDefault="00000000">
            <w:r>
              <w:rPr>
                <w:rFonts w:ascii="Calibri" w:eastAsia="Calibri" w:hAnsi="Calibri" w:cs="Calibri"/>
                <w:b/>
                <w:bCs/>
                <w:color w:val="0F3D3A"/>
                <w:sz w:val="19"/>
                <w:szCs w:val="19"/>
              </w:rPr>
              <w:t>Document owner</w:t>
            </w:r>
          </w:p>
        </w:tc>
        <w:tc>
          <w:tcPr>
            <w:tcW w:w="4000" w:type="dxa"/>
            <w:tcMar>
              <w:top w:w="100" w:type="dxa"/>
              <w:left w:w="120" w:type="dxa"/>
              <w:bottom w:w="100" w:type="dxa"/>
              <w:right w:w="120" w:type="dxa"/>
            </w:tcMar>
          </w:tcPr>
          <w:p w14:paraId="4B04E296" w14:textId="77777777" w:rsidR="003845CE" w:rsidRDefault="00000000">
            <w:r>
              <w:rPr>
                <w:rFonts w:ascii="Calibri" w:eastAsia="Calibri" w:hAnsi="Calibri" w:cs="Calibri"/>
                <w:color w:val="222222"/>
                <w:sz w:val="19"/>
                <w:szCs w:val="19"/>
              </w:rPr>
              <w:t>Bilal True North Co. — Executive Leadership</w:t>
            </w:r>
          </w:p>
        </w:tc>
      </w:tr>
      <w:tr w:rsidR="003845CE" w14:paraId="4631E937" w14:textId="77777777">
        <w:tblPrEx>
          <w:tblCellMar>
            <w:top w:w="0" w:type="dxa"/>
            <w:bottom w:w="0" w:type="dxa"/>
          </w:tblCellMar>
        </w:tblPrEx>
        <w:trPr>
          <w:jc w:val="center"/>
        </w:trPr>
        <w:tc>
          <w:tcPr>
            <w:tcW w:w="3000" w:type="dxa"/>
            <w:tcMar>
              <w:top w:w="100" w:type="dxa"/>
              <w:left w:w="120" w:type="dxa"/>
              <w:bottom w:w="100" w:type="dxa"/>
              <w:right w:w="120" w:type="dxa"/>
            </w:tcMar>
          </w:tcPr>
          <w:p w14:paraId="5416B00F" w14:textId="77777777" w:rsidR="003845CE" w:rsidRDefault="00000000">
            <w:r>
              <w:rPr>
                <w:rFonts w:ascii="Calibri" w:eastAsia="Calibri" w:hAnsi="Calibri" w:cs="Calibri"/>
                <w:b/>
                <w:bCs/>
                <w:color w:val="0F3D3A"/>
                <w:sz w:val="19"/>
                <w:szCs w:val="19"/>
              </w:rPr>
              <w:t>Applies to</w:t>
            </w:r>
          </w:p>
        </w:tc>
        <w:tc>
          <w:tcPr>
            <w:tcW w:w="4000" w:type="dxa"/>
            <w:tcMar>
              <w:top w:w="100" w:type="dxa"/>
              <w:left w:w="120" w:type="dxa"/>
              <w:bottom w:w="100" w:type="dxa"/>
              <w:right w:w="120" w:type="dxa"/>
            </w:tcMar>
          </w:tcPr>
          <w:p w14:paraId="056D1E59" w14:textId="77777777" w:rsidR="003845CE" w:rsidRDefault="00000000">
            <w:r>
              <w:rPr>
                <w:rFonts w:ascii="Calibri" w:eastAsia="Calibri" w:hAnsi="Calibri" w:cs="Calibri"/>
                <w:color w:val="222222"/>
                <w:sz w:val="19"/>
                <w:szCs w:val="19"/>
              </w:rPr>
              <w:t>All operations — commercial and residential contracting, and Oil &amp; Gas engineering services</w:t>
            </w:r>
          </w:p>
        </w:tc>
      </w:tr>
      <w:tr w:rsidR="003845CE" w14:paraId="71E210CC" w14:textId="77777777">
        <w:tblPrEx>
          <w:tblCellMar>
            <w:top w:w="0" w:type="dxa"/>
            <w:bottom w:w="0" w:type="dxa"/>
          </w:tblCellMar>
        </w:tblPrEx>
        <w:trPr>
          <w:jc w:val="center"/>
        </w:trPr>
        <w:tc>
          <w:tcPr>
            <w:tcW w:w="3000" w:type="dxa"/>
            <w:tcMar>
              <w:top w:w="100" w:type="dxa"/>
              <w:left w:w="120" w:type="dxa"/>
              <w:bottom w:w="100" w:type="dxa"/>
              <w:right w:w="120" w:type="dxa"/>
            </w:tcMar>
          </w:tcPr>
          <w:p w14:paraId="03CCB541" w14:textId="77777777" w:rsidR="003845CE" w:rsidRDefault="00000000">
            <w:r>
              <w:rPr>
                <w:rFonts w:ascii="Calibri" w:eastAsia="Calibri" w:hAnsi="Calibri" w:cs="Calibri"/>
                <w:b/>
                <w:bCs/>
                <w:color w:val="0F3D3A"/>
                <w:sz w:val="19"/>
                <w:szCs w:val="19"/>
              </w:rPr>
              <w:t>Effective date</w:t>
            </w:r>
          </w:p>
        </w:tc>
        <w:tc>
          <w:tcPr>
            <w:tcW w:w="4000" w:type="dxa"/>
            <w:tcMar>
              <w:top w:w="100" w:type="dxa"/>
              <w:left w:w="120" w:type="dxa"/>
              <w:bottom w:w="100" w:type="dxa"/>
              <w:right w:w="120" w:type="dxa"/>
            </w:tcMar>
          </w:tcPr>
          <w:p w14:paraId="5F524305" w14:textId="77777777" w:rsidR="003845CE" w:rsidRDefault="00000000">
            <w:r>
              <w:rPr>
                <w:rFonts w:ascii="Calibri" w:eastAsia="Calibri" w:hAnsi="Calibri" w:cs="Calibri"/>
                <w:color w:val="222222"/>
                <w:sz w:val="19"/>
                <w:szCs w:val="19"/>
              </w:rPr>
              <w:t>[Insert effective date]</w:t>
            </w:r>
          </w:p>
        </w:tc>
      </w:tr>
      <w:tr w:rsidR="003845CE" w14:paraId="54F775BD" w14:textId="77777777">
        <w:tblPrEx>
          <w:tblCellMar>
            <w:top w:w="0" w:type="dxa"/>
            <w:bottom w:w="0" w:type="dxa"/>
          </w:tblCellMar>
        </w:tblPrEx>
        <w:trPr>
          <w:jc w:val="center"/>
        </w:trPr>
        <w:tc>
          <w:tcPr>
            <w:tcW w:w="3000" w:type="dxa"/>
            <w:tcMar>
              <w:top w:w="100" w:type="dxa"/>
              <w:left w:w="120" w:type="dxa"/>
              <w:bottom w:w="100" w:type="dxa"/>
              <w:right w:w="120" w:type="dxa"/>
            </w:tcMar>
          </w:tcPr>
          <w:p w14:paraId="08AB573A" w14:textId="77777777" w:rsidR="003845CE" w:rsidRDefault="00000000">
            <w:r>
              <w:rPr>
                <w:rFonts w:ascii="Calibri" w:eastAsia="Calibri" w:hAnsi="Calibri" w:cs="Calibri"/>
                <w:b/>
                <w:bCs/>
                <w:color w:val="0F3D3A"/>
                <w:sz w:val="19"/>
                <w:szCs w:val="19"/>
              </w:rPr>
              <w:t>Review cycle</w:t>
            </w:r>
          </w:p>
        </w:tc>
        <w:tc>
          <w:tcPr>
            <w:tcW w:w="4000" w:type="dxa"/>
            <w:tcMar>
              <w:top w:w="100" w:type="dxa"/>
              <w:left w:w="120" w:type="dxa"/>
              <w:bottom w:w="100" w:type="dxa"/>
              <w:right w:w="120" w:type="dxa"/>
            </w:tcMar>
          </w:tcPr>
          <w:p w14:paraId="303DFBF3" w14:textId="77777777" w:rsidR="003845CE" w:rsidRDefault="00000000">
            <w:r>
              <w:rPr>
                <w:rFonts w:ascii="Calibri" w:eastAsia="Calibri" w:hAnsi="Calibri" w:cs="Calibri"/>
                <w:color w:val="222222"/>
                <w:sz w:val="19"/>
                <w:szCs w:val="19"/>
              </w:rPr>
              <w:t>Annually, or upon material change in operations or legislation</w:t>
            </w:r>
          </w:p>
        </w:tc>
      </w:tr>
      <w:tr w:rsidR="003845CE" w14:paraId="0E1AE249" w14:textId="77777777">
        <w:tblPrEx>
          <w:tblCellMar>
            <w:top w:w="0" w:type="dxa"/>
            <w:bottom w:w="0" w:type="dxa"/>
          </w:tblCellMar>
        </w:tblPrEx>
        <w:trPr>
          <w:jc w:val="center"/>
        </w:trPr>
        <w:tc>
          <w:tcPr>
            <w:tcW w:w="3000" w:type="dxa"/>
            <w:tcMar>
              <w:top w:w="100" w:type="dxa"/>
              <w:left w:w="120" w:type="dxa"/>
              <w:bottom w:w="100" w:type="dxa"/>
              <w:right w:w="120" w:type="dxa"/>
            </w:tcMar>
          </w:tcPr>
          <w:p w14:paraId="346CB30B" w14:textId="77777777" w:rsidR="003845CE" w:rsidRDefault="00000000">
            <w:r>
              <w:rPr>
                <w:rFonts w:ascii="Calibri" w:eastAsia="Calibri" w:hAnsi="Calibri" w:cs="Calibri"/>
                <w:b/>
                <w:bCs/>
                <w:color w:val="0F3D3A"/>
                <w:sz w:val="19"/>
                <w:szCs w:val="19"/>
              </w:rPr>
              <w:t>Document status</w:t>
            </w:r>
          </w:p>
        </w:tc>
        <w:tc>
          <w:tcPr>
            <w:tcW w:w="4000" w:type="dxa"/>
            <w:tcMar>
              <w:top w:w="100" w:type="dxa"/>
              <w:left w:w="120" w:type="dxa"/>
              <w:bottom w:w="100" w:type="dxa"/>
              <w:right w:w="120" w:type="dxa"/>
            </w:tcMar>
          </w:tcPr>
          <w:p w14:paraId="491D8F9A" w14:textId="77777777" w:rsidR="003845CE" w:rsidRDefault="00000000">
            <w:r>
              <w:rPr>
                <w:rFonts w:ascii="Calibri" w:eastAsia="Calibri" w:hAnsi="Calibri" w:cs="Calibri"/>
                <w:color w:val="222222"/>
                <w:sz w:val="19"/>
                <w:szCs w:val="19"/>
              </w:rPr>
              <w:t>DRAFT — pending legal and health &amp; safety professional review</w:t>
            </w:r>
          </w:p>
        </w:tc>
      </w:tr>
    </w:tbl>
    <w:p w14:paraId="3867CE1B" w14:textId="77777777" w:rsidR="003845CE" w:rsidRDefault="003845CE">
      <w:pPr>
        <w:spacing w:before="600"/>
      </w:pPr>
    </w:p>
    <w:p w14:paraId="015AB582" w14:textId="77777777" w:rsidR="003845CE" w:rsidRDefault="00000000">
      <w:pPr>
        <w:jc w:val="center"/>
      </w:pPr>
      <w:r>
        <w:rPr>
          <w:rFonts w:ascii="Calibri" w:eastAsia="Calibri" w:hAnsi="Calibri" w:cs="Calibri"/>
          <w:i/>
          <w:iCs/>
          <w:color w:val="D85A30"/>
          <w:sz w:val="18"/>
          <w:szCs w:val="18"/>
        </w:rPr>
        <w:t>This document is a working draft prepared to reflect Canadian and Ontario regulatory frameworks as of mid-2026. It is not a substitute for legal advice. It should be reviewed and formally approved by qualified legal counsel and a health &amp; safety professional before adoption, posting, or use in client-facing capability statements.</w:t>
      </w:r>
    </w:p>
    <w:p w14:paraId="0FF1EB96" w14:textId="77777777" w:rsidR="003845CE" w:rsidRDefault="003845CE">
      <w:pPr>
        <w:sectPr w:rsidR="003845CE">
          <w:pgSz w:w="12240" w:h="15840"/>
          <w:pgMar w:top="1440" w:right="1440" w:bottom="1440" w:left="1440" w:header="708" w:footer="708" w:gutter="0"/>
          <w:cols w:space="720"/>
          <w:docGrid w:linePitch="360"/>
        </w:sectPr>
      </w:pPr>
    </w:p>
    <w:p w14:paraId="4EE7852D"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lastRenderedPageBreak/>
        <w:t>1. Policy Statement</w:t>
      </w:r>
    </w:p>
    <w:p w14:paraId="22ECF0B8" w14:textId="77777777" w:rsidR="003845CE" w:rsidRDefault="00000000">
      <w:pPr>
        <w:spacing w:after="140" w:line="300" w:lineRule="auto"/>
      </w:pPr>
      <w:r>
        <w:rPr>
          <w:rFonts w:ascii="Calibri" w:eastAsia="Calibri" w:hAnsi="Calibri" w:cs="Calibri"/>
          <w:color w:val="222222"/>
          <w:sz w:val="21"/>
          <w:szCs w:val="21"/>
        </w:rPr>
        <w:t>Bilal True North Co. is committed to conducting every project — whether a commercial or residential construction contract, or a specialized Oil &amp; Gas engineering scope — in a manner that protects the health and safety of our workers, subcontractors, clients, and the public, safeguards the environment, and consistently delivers work to the quality standard our clients require.</w:t>
      </w:r>
    </w:p>
    <w:p w14:paraId="76DB8B12" w14:textId="77777777" w:rsidR="003845CE" w:rsidRDefault="00000000">
      <w:pPr>
        <w:spacing w:after="140" w:line="300" w:lineRule="auto"/>
      </w:pPr>
      <w:r>
        <w:rPr>
          <w:rFonts w:ascii="Calibri" w:eastAsia="Calibri" w:hAnsi="Calibri" w:cs="Calibri"/>
          <w:color w:val="222222"/>
          <w:sz w:val="21"/>
          <w:szCs w:val="21"/>
        </w:rPr>
        <w:t>This commitment is not conditional on project size, client, or schedule pressure. Where a conflict arises between production targets and safety, safety takes precedence.</w:t>
      </w:r>
    </w:p>
    <w:p w14:paraId="5F7335A3" w14:textId="77777777" w:rsidR="003845CE" w:rsidRDefault="00000000">
      <w:pPr>
        <w:spacing w:after="140" w:line="300" w:lineRule="auto"/>
      </w:pPr>
      <w:r>
        <w:rPr>
          <w:rFonts w:ascii="Calibri" w:eastAsia="Calibri" w:hAnsi="Calibri" w:cs="Calibri"/>
          <w:color w:val="222222"/>
          <w:sz w:val="21"/>
          <w:szCs w:val="21"/>
        </w:rPr>
        <w:t>Leadership is accountable for providing the resources, training, and oversight needed to meet this commitment, and for reviewing this policy at least annually to ensure it remains current with our operations and with applicable law.</w:t>
      </w:r>
    </w:p>
    <w:p w14:paraId="61DD910B"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2. Purpose and Scope</w:t>
      </w:r>
    </w:p>
    <w:p w14:paraId="0C12433E" w14:textId="77777777" w:rsidR="003845CE" w:rsidRDefault="00000000">
      <w:pPr>
        <w:spacing w:after="140" w:line="300" w:lineRule="auto"/>
      </w:pPr>
      <w:r>
        <w:rPr>
          <w:rFonts w:ascii="Calibri" w:eastAsia="Calibri" w:hAnsi="Calibri" w:cs="Calibri"/>
          <w:color w:val="222222"/>
          <w:sz w:val="21"/>
          <w:szCs w:val="21"/>
        </w:rPr>
        <w:t>This policy establishes Bilal True North Co.'s commitments and framework for Quality, Health, Safety, and Environmental (QHSE) management across all business lines. It applies to:</w:t>
      </w:r>
    </w:p>
    <w:p w14:paraId="33AA58BF"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employees, supervisors, and management across commercial, residential, and energy sector operations</w:t>
      </w:r>
    </w:p>
    <w:p w14:paraId="291B6C35"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subcontractors, vendors, and site visitors engaged on Bilal True North Co. projects</w:t>
      </w:r>
    </w:p>
    <w:p w14:paraId="1C12F869"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work locations, including client sites, project sites, and company facilities</w:t>
      </w:r>
    </w:p>
    <w:p w14:paraId="1ED08EBE"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3. Legal and Regulatory Framework</w:t>
      </w:r>
    </w:p>
    <w:p w14:paraId="4200C426" w14:textId="77777777" w:rsidR="003845CE" w:rsidRDefault="00000000">
      <w:pPr>
        <w:spacing w:after="140" w:line="300" w:lineRule="auto"/>
      </w:pPr>
      <w:r>
        <w:rPr>
          <w:rFonts w:ascii="Calibri" w:eastAsia="Calibri" w:hAnsi="Calibri" w:cs="Calibri"/>
          <w:color w:val="222222"/>
          <w:sz w:val="21"/>
          <w:szCs w:val="21"/>
        </w:rPr>
        <w:t>Bilal True North Co. operates in compliance with applicable federal and provincial legislation, including but not limited to:</w:t>
      </w:r>
    </w:p>
    <w:p w14:paraId="3271B754"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Occupational Health and Safety Act (OHSA), R.S.O. 1990, c. O.1, and its regulations, including O. Reg. 213/91 (Construction Projects) and amendments introduced under the Working for Workers Seven Act, 2025, in effect as of January 1, 2026</w:t>
      </w:r>
    </w:p>
    <w:p w14:paraId="4F92DCF8"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Workplace Safety and Insurance Act, 1997, and WSIB reporting requirements</w:t>
      </w:r>
    </w:p>
    <w:p w14:paraId="5033EC8F"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Workplace Hazardous Materials Information System (WHMIS 2015), aligned with the Globally Harmonized System</w:t>
      </w:r>
    </w:p>
    <w:p w14:paraId="73071B50"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Canadian Environmental Protection Act, 1999 (CEPA) and the Ontario Environmental Protection Act, R.S.O. 1990, c. E.19</w:t>
      </w:r>
    </w:p>
    <w:p w14:paraId="72AFC572"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Canada Labour Code, Part II, for any federally regulated work undertaken</w:t>
      </w:r>
    </w:p>
    <w:p w14:paraId="5C368A24"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Applicable municipal by-laws and building codes at each project location</w:t>
      </w:r>
    </w:p>
    <w:p w14:paraId="335E7E4A" w14:textId="77777777" w:rsidR="003845CE" w:rsidRDefault="00000000">
      <w:pPr>
        <w:pBdr>
          <w:left w:val="single" w:sz="18" w:space="8" w:color="D85A30"/>
        </w:pBdr>
        <w:shd w:val="clear" w:color="auto" w:fill="F4EFE6"/>
        <w:spacing w:before="100" w:after="200"/>
        <w:ind w:left="215"/>
      </w:pPr>
      <w:r>
        <w:rPr>
          <w:rFonts w:ascii="Calibri" w:eastAsia="Calibri" w:hAnsi="Calibri" w:cs="Calibri"/>
          <w:i/>
          <w:iCs/>
          <w:color w:val="555550"/>
          <w:sz w:val="19"/>
          <w:szCs w:val="19"/>
        </w:rPr>
        <w:t xml:space="preserve">This list reflects the regulatory landscape as understood in mid-2026, including amendments effective January 1, 2026 (e.g. AED requirements on larger construction projects, washroom cleaning record-keeping). Legislation and </w:t>
      </w:r>
      <w:r>
        <w:rPr>
          <w:rFonts w:ascii="Calibri" w:eastAsia="Calibri" w:hAnsi="Calibri" w:cs="Calibri"/>
          <w:i/>
          <w:iCs/>
          <w:color w:val="555550"/>
          <w:sz w:val="19"/>
          <w:szCs w:val="19"/>
        </w:rPr>
        <w:lastRenderedPageBreak/>
        <w:t>regulations are amended regularly — legal counsel should confirm current applicability before this policy is formally adopted or relied upon.</w:t>
      </w:r>
    </w:p>
    <w:p w14:paraId="4B1FB659" w14:textId="77777777" w:rsidR="003845CE" w:rsidRDefault="00000000">
      <w:pPr>
        <w:spacing w:after="140" w:line="300" w:lineRule="auto"/>
      </w:pPr>
      <w:r>
        <w:rPr>
          <w:rFonts w:ascii="Calibri" w:eastAsia="Calibri" w:hAnsi="Calibri" w:cs="Calibri"/>
          <w:color w:val="222222"/>
          <w:sz w:val="21"/>
          <w:szCs w:val="21"/>
        </w:rPr>
        <w:t>Bilal True North Co. also aligns its management approach with recognized international standards, including ISO 9001 (Quality Management), ISO 45001 (Occupational Health &amp; Safety Management), and ISO 14001 (Environmental Management), and is pursuing formal certification against these standards. [Insert current certification status once confirmed.]</w:t>
      </w:r>
    </w:p>
    <w:p w14:paraId="1AA34987"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4. Quality Policy</w:t>
      </w:r>
    </w:p>
    <w:p w14:paraId="054887AE" w14:textId="77777777" w:rsidR="003845CE" w:rsidRDefault="00000000">
      <w:pPr>
        <w:spacing w:after="140" w:line="300" w:lineRule="auto"/>
      </w:pPr>
      <w:r>
        <w:rPr>
          <w:rFonts w:ascii="Calibri" w:eastAsia="Calibri" w:hAnsi="Calibri" w:cs="Calibri"/>
          <w:color w:val="222222"/>
          <w:sz w:val="21"/>
          <w:szCs w:val="21"/>
        </w:rPr>
        <w:t>Bilal True North Co. is committed to:</w:t>
      </w:r>
    </w:p>
    <w:p w14:paraId="4A89C433"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Delivering work that meets or exceeds the specifications, codes, and standards applicable to each project</w:t>
      </w:r>
    </w:p>
    <w:p w14:paraId="2238B5E4"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Applying consistent quality control processes across both contracting and energy sector engineering scopes</w:t>
      </w:r>
    </w:p>
    <w:p w14:paraId="74A6ABBD"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Using qualified personnel and verified materials, with traceable documentation on energy sector equipment and spare parts</w:t>
      </w:r>
    </w:p>
    <w:p w14:paraId="39176F8A"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Addressing non-conformance promptly, with root-cause review to prevent recurrence</w:t>
      </w:r>
    </w:p>
    <w:p w14:paraId="531EE0F7"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Seeking client feedback and using it to improve future project delivery</w:t>
      </w:r>
    </w:p>
    <w:p w14:paraId="62A949C8"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5. Health &amp; Safety Policy</w:t>
      </w:r>
    </w:p>
    <w:p w14:paraId="138066A2" w14:textId="77777777" w:rsidR="003845CE" w:rsidRDefault="00000000">
      <w:pPr>
        <w:pStyle w:val="Heading2"/>
        <w:spacing w:before="220" w:after="100"/>
      </w:pPr>
      <w:r>
        <w:rPr>
          <w:rFonts w:ascii="Arial" w:eastAsia="Arial" w:hAnsi="Arial" w:cs="Arial"/>
          <w:b/>
          <w:bCs/>
          <w:color w:val="0F3D3A"/>
          <w:sz w:val="22"/>
          <w:szCs w:val="22"/>
        </w:rPr>
        <w:t>5.1 Management commitment</w:t>
      </w:r>
    </w:p>
    <w:p w14:paraId="3FEE1AAF" w14:textId="77777777" w:rsidR="003845CE" w:rsidRDefault="00000000">
      <w:pPr>
        <w:spacing w:after="140" w:line="300" w:lineRule="auto"/>
      </w:pPr>
      <w:r>
        <w:rPr>
          <w:rFonts w:ascii="Calibri" w:eastAsia="Calibri" w:hAnsi="Calibri" w:cs="Calibri"/>
          <w:color w:val="222222"/>
          <w:sz w:val="21"/>
          <w:szCs w:val="21"/>
        </w:rPr>
        <w:t>Bilal True North Co. will take every precaution reasonable in the circumstances for the protection of workers, consistent with the core duty established under the OHSA. This includes providing a written health and safety policy (this document), maintaining a health and safety program appropriate to our operations, and reviewing both at least annually.</w:t>
      </w:r>
    </w:p>
    <w:p w14:paraId="2C829081" w14:textId="77777777" w:rsidR="003845CE" w:rsidRDefault="00000000">
      <w:pPr>
        <w:pStyle w:val="Heading2"/>
        <w:spacing w:before="220" w:after="100"/>
      </w:pPr>
      <w:r>
        <w:rPr>
          <w:rFonts w:ascii="Arial" w:eastAsia="Arial" w:hAnsi="Arial" w:cs="Arial"/>
          <w:b/>
          <w:bCs/>
          <w:color w:val="0F3D3A"/>
          <w:sz w:val="22"/>
          <w:szCs w:val="22"/>
        </w:rPr>
        <w:t>5.2 Hazard prevention</w:t>
      </w:r>
    </w:p>
    <w:p w14:paraId="27EE720B"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Conduct hazard assessments before work begins on any site, and reassess when site conditions or scope change</w:t>
      </w:r>
    </w:p>
    <w:p w14:paraId="0199C6EC"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Provide and maintain appropriate personal protective equipment (PPE) for all workers and site visitors</w:t>
      </w:r>
    </w:p>
    <w:p w14:paraId="037104AF"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Maintain equipment, machinery, and protective devices in safe operating condition</w:t>
      </w:r>
    </w:p>
    <w:p w14:paraId="21CD62DA"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Apply WHMIS-compliant labelling, safety data sheets, and training for any controlled products used on site</w:t>
      </w:r>
    </w:p>
    <w:p w14:paraId="5F5609C9"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Install and maintain AEDs on qualifying construction projects (20 or more workers, project duration of three months or longer), in line with current Ontario requirements</w:t>
      </w:r>
    </w:p>
    <w:p w14:paraId="02C2549A" w14:textId="77777777" w:rsidR="003845CE" w:rsidRDefault="00000000">
      <w:pPr>
        <w:pStyle w:val="Heading2"/>
        <w:spacing w:before="220" w:after="100"/>
      </w:pPr>
      <w:r>
        <w:rPr>
          <w:rFonts w:ascii="Arial" w:eastAsia="Arial" w:hAnsi="Arial" w:cs="Arial"/>
          <w:b/>
          <w:bCs/>
          <w:color w:val="0F3D3A"/>
          <w:sz w:val="22"/>
          <w:szCs w:val="22"/>
        </w:rPr>
        <w:t>5.3 Worker rights and responsibilities</w:t>
      </w:r>
    </w:p>
    <w:p w14:paraId="74345B61"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lastRenderedPageBreak/>
        <w:t>Every worker has the right to know about workplace hazards, the right to participate in health and safety through the Joint Health and Safety Committee (JHSC) or a health and safety representative, and the right to refuse unsafe work</w:t>
      </w:r>
    </w:p>
    <w:p w14:paraId="17A2845D"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Workers are required to use provided safety equipment, follow safe work procedures, and report hazards or incidents immediately to their supervisor</w:t>
      </w:r>
    </w:p>
    <w:p w14:paraId="50BCB262"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Supervisors are responsible for ensuring workers under their direction are informed of hazards and are working in compliance with the OHSA and this policy — supervisors carry personal statutory obligations under the OHSA in addition to the company's obligations</w:t>
      </w:r>
    </w:p>
    <w:p w14:paraId="72144831" w14:textId="77777777" w:rsidR="003845CE" w:rsidRDefault="00000000">
      <w:pPr>
        <w:pStyle w:val="Heading2"/>
        <w:spacing w:before="220" w:after="100"/>
      </w:pPr>
      <w:r>
        <w:rPr>
          <w:rFonts w:ascii="Arial" w:eastAsia="Arial" w:hAnsi="Arial" w:cs="Arial"/>
          <w:b/>
          <w:bCs/>
          <w:color w:val="0F3D3A"/>
          <w:sz w:val="22"/>
          <w:szCs w:val="22"/>
        </w:rPr>
        <w:t>5.4 Incident reporting and investigation</w:t>
      </w:r>
    </w:p>
    <w:p w14:paraId="0F2283E7"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incidents, near-misses, and injuries must be reported immediately, regardless of severity</w:t>
      </w:r>
    </w:p>
    <w:p w14:paraId="3A2AF163"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Critical injuries and fatalities will be reported to the Ministry of Labour, Immigration, Training and Skills Development and the JHSC as required by the OHSA, with the incident scene preserved as legally required</w:t>
      </w:r>
    </w:p>
    <w:p w14:paraId="1C7B2CD9"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incidents will be investigated to identify root cause and corrective action, and findings will be documented and shared with affected workers</w:t>
      </w:r>
    </w:p>
    <w:p w14:paraId="3C74380E"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6. Environmental Policy</w:t>
      </w:r>
    </w:p>
    <w:p w14:paraId="519745E7" w14:textId="77777777" w:rsidR="003845CE" w:rsidRDefault="00000000">
      <w:pPr>
        <w:spacing w:after="140" w:line="300" w:lineRule="auto"/>
      </w:pPr>
      <w:r>
        <w:rPr>
          <w:rFonts w:ascii="Calibri" w:eastAsia="Calibri" w:hAnsi="Calibri" w:cs="Calibri"/>
          <w:color w:val="222222"/>
          <w:sz w:val="21"/>
          <w:szCs w:val="21"/>
        </w:rPr>
        <w:t>Bilal True North Co. is committed to:</w:t>
      </w:r>
    </w:p>
    <w:p w14:paraId="3361A06F"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Minimizing the environmental impact of both construction and energy sector operations, including waste, emissions, and material use</w:t>
      </w:r>
    </w:p>
    <w:p w14:paraId="4354A348"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Complying with applicable environmental permits, spill reporting obligations, and waste disposal regulations at each project site</w:t>
      </w:r>
    </w:p>
    <w:p w14:paraId="2108DCA5"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Selecting materials and equipment designs, where practical, that reduce energy consumption and environmental footprint — a design principle already reflected in our energy sector engineering approach</w:t>
      </w:r>
    </w:p>
    <w:p w14:paraId="6C057776"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Training relevant personnel on environmental procedures specific to their role</w:t>
      </w:r>
    </w:p>
    <w:p w14:paraId="28C4DBAF"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7. Roles and Responsibilities</w:t>
      </w:r>
    </w:p>
    <w:p w14:paraId="232C9F1E" w14:textId="77777777" w:rsidR="003845CE" w:rsidRDefault="00000000">
      <w:pPr>
        <w:pStyle w:val="Heading2"/>
        <w:spacing w:before="220" w:after="100"/>
      </w:pPr>
      <w:r>
        <w:rPr>
          <w:rFonts w:ascii="Arial" w:eastAsia="Arial" w:hAnsi="Arial" w:cs="Arial"/>
          <w:b/>
          <w:bCs/>
          <w:color w:val="0F3D3A"/>
          <w:sz w:val="22"/>
          <w:szCs w:val="22"/>
        </w:rPr>
        <w:t>7.1 Employer / Constructor</w:t>
      </w:r>
    </w:p>
    <w:p w14:paraId="01E113E0" w14:textId="77777777" w:rsidR="003845CE" w:rsidRDefault="00000000">
      <w:pPr>
        <w:spacing w:after="140" w:line="300" w:lineRule="auto"/>
      </w:pPr>
      <w:r>
        <w:rPr>
          <w:rFonts w:ascii="Calibri" w:eastAsia="Calibri" w:hAnsi="Calibri" w:cs="Calibri"/>
          <w:color w:val="222222"/>
          <w:sz w:val="21"/>
          <w:szCs w:val="21"/>
        </w:rPr>
        <w:t>Bilal True North Co., acting as employer and, on applicable projects, as constructor under the OHSA, is responsible for establishing this policy, providing necessary resources and training, and ensuring compliance across all projects and personnel under its direction.</w:t>
      </w:r>
    </w:p>
    <w:p w14:paraId="32C420EA" w14:textId="77777777" w:rsidR="003845CE" w:rsidRDefault="00000000">
      <w:pPr>
        <w:pStyle w:val="Heading2"/>
        <w:spacing w:before="220" w:after="100"/>
      </w:pPr>
      <w:r>
        <w:rPr>
          <w:rFonts w:ascii="Arial" w:eastAsia="Arial" w:hAnsi="Arial" w:cs="Arial"/>
          <w:b/>
          <w:bCs/>
          <w:color w:val="0F3D3A"/>
          <w:sz w:val="22"/>
          <w:szCs w:val="22"/>
        </w:rPr>
        <w:t>7.2 Supervisors</w:t>
      </w:r>
    </w:p>
    <w:p w14:paraId="292F6EC1" w14:textId="77777777" w:rsidR="003845CE" w:rsidRDefault="00000000">
      <w:pPr>
        <w:spacing w:after="140" w:line="300" w:lineRule="auto"/>
      </w:pPr>
      <w:r>
        <w:rPr>
          <w:rFonts w:ascii="Calibri" w:eastAsia="Calibri" w:hAnsi="Calibri" w:cs="Calibri"/>
          <w:color w:val="222222"/>
          <w:sz w:val="21"/>
          <w:szCs w:val="21"/>
        </w:rPr>
        <w:t>Supervisors are responsible for day-to-day enforcement of safe work practices, ensuring workers are informed of hazards, and ensuring required protective equipment is used correctly on site.</w:t>
      </w:r>
    </w:p>
    <w:p w14:paraId="1BB8A002" w14:textId="77777777" w:rsidR="003845CE" w:rsidRDefault="00000000">
      <w:pPr>
        <w:pStyle w:val="Heading2"/>
        <w:spacing w:before="220" w:after="100"/>
      </w:pPr>
      <w:r>
        <w:rPr>
          <w:rFonts w:ascii="Arial" w:eastAsia="Arial" w:hAnsi="Arial" w:cs="Arial"/>
          <w:b/>
          <w:bCs/>
          <w:color w:val="0F3D3A"/>
          <w:sz w:val="22"/>
          <w:szCs w:val="22"/>
        </w:rPr>
        <w:lastRenderedPageBreak/>
        <w:t>7.3 Workers</w:t>
      </w:r>
    </w:p>
    <w:p w14:paraId="14DF218E" w14:textId="77777777" w:rsidR="003845CE" w:rsidRDefault="00000000">
      <w:pPr>
        <w:spacing w:after="140" w:line="300" w:lineRule="auto"/>
      </w:pPr>
      <w:r>
        <w:rPr>
          <w:rFonts w:ascii="Calibri" w:eastAsia="Calibri" w:hAnsi="Calibri" w:cs="Calibri"/>
          <w:color w:val="222222"/>
          <w:sz w:val="21"/>
          <w:szCs w:val="21"/>
        </w:rPr>
        <w:t>All workers are responsible for following this policy, using provided safety equipment, and reporting hazards, incidents, and unsafe conditions without delay.</w:t>
      </w:r>
    </w:p>
    <w:p w14:paraId="4F16FA3C" w14:textId="77777777" w:rsidR="003845CE" w:rsidRDefault="00000000">
      <w:pPr>
        <w:pStyle w:val="Heading2"/>
        <w:spacing w:before="220" w:after="100"/>
      </w:pPr>
      <w:r>
        <w:rPr>
          <w:rFonts w:ascii="Arial" w:eastAsia="Arial" w:hAnsi="Arial" w:cs="Arial"/>
          <w:b/>
          <w:bCs/>
          <w:color w:val="0F3D3A"/>
          <w:sz w:val="22"/>
          <w:szCs w:val="22"/>
        </w:rPr>
        <w:t>7.4 Joint Health and Safety Committee (JHSC)</w:t>
      </w:r>
    </w:p>
    <w:p w14:paraId="3F8AABBC" w14:textId="77777777" w:rsidR="003845CE" w:rsidRDefault="00000000">
      <w:pPr>
        <w:spacing w:after="140" w:line="300" w:lineRule="auto"/>
      </w:pPr>
      <w:r>
        <w:rPr>
          <w:rFonts w:ascii="Calibri" w:eastAsia="Calibri" w:hAnsi="Calibri" w:cs="Calibri"/>
          <w:color w:val="222222"/>
          <w:sz w:val="21"/>
          <w:szCs w:val="21"/>
        </w:rPr>
        <w:t>Where required by the OHSA based on workplace size, a JHSC or health and safety representative will be maintained, with the option to meet remotely by electronic means as permitted under current regulation.</w:t>
      </w:r>
    </w:p>
    <w:p w14:paraId="45EB2044"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8. Training and Competence</w:t>
      </w:r>
    </w:p>
    <w:p w14:paraId="6841A9CA"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All workers receive mandatory occupational health and safety awareness training prior to beginning work, as required under the OHSA</w:t>
      </w:r>
    </w:p>
    <w:p w14:paraId="3A1BA976"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Role-specific training is provided based on project scope — construction site safety, WHMIS, and energy sector equipment-specific training where applicable</w:t>
      </w:r>
    </w:p>
    <w:p w14:paraId="5240F01A"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Supervisor and JHSC certification training is kept current in line with Ministry of Labour, Immigration, Training and Skills Development standards</w:t>
      </w:r>
    </w:p>
    <w:p w14:paraId="2048064A"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Training records are maintained and available for inspection</w:t>
      </w:r>
    </w:p>
    <w:p w14:paraId="06260D7E"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9. Contractor and Subcontractor Requirements</w:t>
      </w:r>
    </w:p>
    <w:p w14:paraId="7CE04E9F" w14:textId="77777777" w:rsidR="003845CE" w:rsidRDefault="00000000">
      <w:pPr>
        <w:spacing w:after="140" w:line="300" w:lineRule="auto"/>
      </w:pPr>
      <w:r>
        <w:rPr>
          <w:rFonts w:ascii="Calibri" w:eastAsia="Calibri" w:hAnsi="Calibri" w:cs="Calibri"/>
          <w:color w:val="222222"/>
          <w:sz w:val="21"/>
          <w:szCs w:val="21"/>
        </w:rPr>
        <w:t>Subcontractors and vendors engaged by Bilal True North Co. are required to operate in compliance with this policy and all applicable OHSA, environmental, and quality requirements while working on our projects. Subcontractor safety performance and compliance documentation will be reviewed as part of our vendor qualification process.</w:t>
      </w:r>
    </w:p>
    <w:p w14:paraId="44351E46"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10. Monitoring, Audit, and Continuous Improvement</w:t>
      </w:r>
    </w:p>
    <w:p w14:paraId="44D74EA7"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Regular site inspections will be conducted to verify compliance with this policy and applicable regulations</w:t>
      </w:r>
    </w:p>
    <w:p w14:paraId="12F133BD"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QHSE performance, including incident trends and near-misses, will be reviewed by leadership on an ongoing basis</w:t>
      </w:r>
    </w:p>
    <w:p w14:paraId="4A5A8FAF" w14:textId="77777777" w:rsidR="003845CE" w:rsidRDefault="00000000">
      <w:pPr>
        <w:pStyle w:val="ListParagraph"/>
        <w:numPr>
          <w:ilvl w:val="0"/>
          <w:numId w:val="2"/>
        </w:numPr>
        <w:spacing w:after="80" w:line="290" w:lineRule="auto"/>
      </w:pPr>
      <w:r>
        <w:rPr>
          <w:rFonts w:ascii="Calibri" w:eastAsia="Calibri" w:hAnsi="Calibri" w:cs="Calibri"/>
          <w:color w:val="222222"/>
          <w:sz w:val="21"/>
          <w:szCs w:val="21"/>
        </w:rPr>
        <w:t>This policy will be reviewed at least annually, and immediately following any material change in legislation, operations, or a significant incident</w:t>
      </w:r>
    </w:p>
    <w:p w14:paraId="0F4704FE"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t>11. Policy Communication</w:t>
      </w:r>
    </w:p>
    <w:p w14:paraId="329744A3" w14:textId="77777777" w:rsidR="003845CE" w:rsidRDefault="00000000">
      <w:pPr>
        <w:spacing w:after="140" w:line="300" w:lineRule="auto"/>
      </w:pPr>
      <w:r>
        <w:rPr>
          <w:rFonts w:ascii="Calibri" w:eastAsia="Calibri" w:hAnsi="Calibri" w:cs="Calibri"/>
          <w:color w:val="222222"/>
          <w:sz w:val="21"/>
          <w:szCs w:val="21"/>
        </w:rPr>
        <w:t>This policy, along with the current Occupational Health and Safety Act, will be posted in a prominent, accessible location at each workplace and project site, in accordance with OHSA posting requirements. All workers will be made aware of this policy as part of onboarding and ongoing training.</w:t>
      </w:r>
    </w:p>
    <w:p w14:paraId="7030FC2D" w14:textId="77777777" w:rsidR="003845CE" w:rsidRDefault="00000000">
      <w:pPr>
        <w:pStyle w:val="Heading1"/>
        <w:pBdr>
          <w:bottom w:val="single" w:sz="6" w:space="4" w:color="D85A30"/>
        </w:pBdr>
        <w:spacing w:before="360" w:after="160"/>
      </w:pPr>
      <w:r>
        <w:rPr>
          <w:rFonts w:ascii="Arial" w:eastAsia="Arial" w:hAnsi="Arial" w:cs="Arial"/>
          <w:b/>
          <w:bCs/>
          <w:color w:val="0F3D3A"/>
          <w:sz w:val="26"/>
          <w:szCs w:val="26"/>
        </w:rPr>
        <w:lastRenderedPageBreak/>
        <w:t>12. Approval</w:t>
      </w:r>
    </w:p>
    <w:p w14:paraId="224737D2" w14:textId="77777777" w:rsidR="003845CE" w:rsidRDefault="003845CE">
      <w:pPr>
        <w:spacing w:before="300" w:after="500"/>
      </w:pPr>
    </w:p>
    <w:tbl>
      <w:tblPr>
        <w:tblW w:w="9000" w:type="dxa"/>
        <w:tblCellMar>
          <w:left w:w="10" w:type="dxa"/>
          <w:right w:w="10" w:type="dxa"/>
        </w:tblCellMar>
        <w:tblLook w:val="04A0" w:firstRow="1" w:lastRow="0" w:firstColumn="1" w:lastColumn="0" w:noHBand="0" w:noVBand="1"/>
      </w:tblPr>
      <w:tblGrid>
        <w:gridCol w:w="4500"/>
        <w:gridCol w:w="4500"/>
      </w:tblGrid>
      <w:tr w:rsidR="003845CE" w14:paraId="3FB50673" w14:textId="77777777">
        <w:tblPrEx>
          <w:tblCellMar>
            <w:top w:w="0" w:type="dxa"/>
            <w:bottom w:w="0" w:type="dxa"/>
          </w:tblCellMar>
        </w:tblPrEx>
        <w:tc>
          <w:tcPr>
            <w:tcW w:w="4500" w:type="dxa"/>
            <w:tcMar>
              <w:top w:w="100" w:type="dxa"/>
              <w:left w:w="0" w:type="dxa"/>
              <w:bottom w:w="100" w:type="dxa"/>
              <w:right w:w="200" w:type="dxa"/>
            </w:tcMar>
          </w:tcPr>
          <w:p w14:paraId="2135354E" w14:textId="77777777" w:rsidR="003845CE" w:rsidRDefault="003845CE">
            <w:pPr>
              <w:pBdr>
                <w:top w:val="single" w:sz="4" w:space="0" w:color="222222"/>
              </w:pBdr>
              <w:spacing w:before="600"/>
            </w:pPr>
          </w:p>
          <w:p w14:paraId="114AA5CA" w14:textId="77777777" w:rsidR="003845CE" w:rsidRDefault="00000000">
            <w:r>
              <w:rPr>
                <w:rFonts w:ascii="Calibri" w:eastAsia="Calibri" w:hAnsi="Calibri" w:cs="Calibri"/>
                <w:color w:val="555550"/>
                <w:sz w:val="18"/>
                <w:szCs w:val="18"/>
              </w:rPr>
              <w:t>Signature — Executive Leadership</w:t>
            </w:r>
          </w:p>
        </w:tc>
        <w:tc>
          <w:tcPr>
            <w:tcW w:w="4500" w:type="dxa"/>
            <w:tcMar>
              <w:top w:w="100" w:type="dxa"/>
              <w:left w:w="200" w:type="dxa"/>
              <w:bottom w:w="100" w:type="dxa"/>
              <w:right w:w="0" w:type="dxa"/>
            </w:tcMar>
          </w:tcPr>
          <w:p w14:paraId="77C6EF8D" w14:textId="77777777" w:rsidR="003845CE" w:rsidRDefault="003845CE">
            <w:pPr>
              <w:pBdr>
                <w:top w:val="single" w:sz="4" w:space="0" w:color="222222"/>
              </w:pBdr>
              <w:spacing w:before="600"/>
            </w:pPr>
          </w:p>
          <w:p w14:paraId="25E0E4C4" w14:textId="77777777" w:rsidR="003845CE" w:rsidRDefault="00000000">
            <w:r>
              <w:rPr>
                <w:rFonts w:ascii="Calibri" w:eastAsia="Calibri" w:hAnsi="Calibri" w:cs="Calibri"/>
                <w:color w:val="555550"/>
                <w:sz w:val="18"/>
                <w:szCs w:val="18"/>
              </w:rPr>
              <w:t>Date</w:t>
            </w:r>
          </w:p>
        </w:tc>
      </w:tr>
    </w:tbl>
    <w:p w14:paraId="1EC53C0D" w14:textId="77777777" w:rsidR="00EB6094" w:rsidRDefault="00EB6094"/>
    <w:sectPr w:rsidR="00EB609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3195" w14:textId="77777777" w:rsidR="00EB6094" w:rsidRDefault="00EB6094">
      <w:r>
        <w:separator/>
      </w:r>
    </w:p>
  </w:endnote>
  <w:endnote w:type="continuationSeparator" w:id="0">
    <w:p w14:paraId="1179B3E7" w14:textId="77777777" w:rsidR="00EB6094" w:rsidRDefault="00E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EEAA" w14:textId="77777777" w:rsidR="003845CE" w:rsidRDefault="00000000">
    <w:pPr>
      <w:jc w:val="center"/>
    </w:pPr>
    <w:r>
      <w:rPr>
        <w:rFonts w:ascii="Calibri" w:eastAsia="Calibri" w:hAnsi="Calibri" w:cs="Calibri"/>
        <w:color w:val="555550"/>
        <w:sz w:val="16"/>
        <w:szCs w:val="16"/>
      </w:rPr>
      <w:t xml:space="preserve">Page </w:t>
    </w:r>
    <w:r>
      <w:rPr>
        <w:rFonts w:ascii="Calibri" w:eastAsia="Calibri" w:hAnsi="Calibri" w:cs="Calibri"/>
        <w:color w:val="555550"/>
        <w:sz w:val="16"/>
        <w:szCs w:val="16"/>
      </w:rPr>
      <w:fldChar w:fldCharType="begin"/>
    </w:r>
    <w:r>
      <w:rPr>
        <w:rFonts w:ascii="Calibri" w:eastAsia="Calibri" w:hAnsi="Calibri" w:cs="Calibri"/>
        <w:color w:val="555550"/>
        <w:sz w:val="16"/>
        <w:szCs w:val="16"/>
      </w:rPr>
      <w:instrText>PAGE</w:instrText>
    </w:r>
    <w:r>
      <w:rPr>
        <w:rFonts w:ascii="Calibri" w:eastAsia="Calibri" w:hAnsi="Calibri" w:cs="Calibri"/>
        <w:color w:val="555550"/>
        <w:sz w:val="16"/>
        <w:szCs w:val="16"/>
      </w:rPr>
      <w:fldChar w:fldCharType="separate"/>
    </w:r>
    <w:r w:rsidR="008453BF">
      <w:rPr>
        <w:rFonts w:ascii="Calibri" w:eastAsia="Calibri" w:hAnsi="Calibri" w:cs="Calibri"/>
        <w:noProof/>
        <w:color w:val="555550"/>
        <w:sz w:val="16"/>
        <w:szCs w:val="16"/>
      </w:rPr>
      <w:t>2</w:t>
    </w:r>
    <w:r>
      <w:rPr>
        <w:rFonts w:ascii="Calibri" w:eastAsia="Calibri" w:hAnsi="Calibri" w:cs="Calibri"/>
        <w:color w:val="555550"/>
        <w:sz w:val="16"/>
        <w:szCs w:val="16"/>
      </w:rPr>
      <w:fldChar w:fldCharType="end"/>
    </w:r>
    <w:r>
      <w:rPr>
        <w:rFonts w:ascii="Calibri" w:eastAsia="Calibri" w:hAnsi="Calibri" w:cs="Calibri"/>
        <w:color w:val="555550"/>
        <w:sz w:val="16"/>
        <w:szCs w:val="16"/>
      </w:rPr>
      <w:t xml:space="preserve"> of </w:t>
    </w:r>
    <w:r>
      <w:rPr>
        <w:rFonts w:ascii="Calibri" w:eastAsia="Calibri" w:hAnsi="Calibri" w:cs="Calibri"/>
        <w:color w:val="555550"/>
        <w:sz w:val="16"/>
        <w:szCs w:val="16"/>
      </w:rPr>
      <w:fldChar w:fldCharType="begin"/>
    </w:r>
    <w:r>
      <w:rPr>
        <w:rFonts w:ascii="Calibri" w:eastAsia="Calibri" w:hAnsi="Calibri" w:cs="Calibri"/>
        <w:color w:val="555550"/>
        <w:sz w:val="16"/>
        <w:szCs w:val="16"/>
      </w:rPr>
      <w:instrText>NUMPAGES</w:instrText>
    </w:r>
    <w:r>
      <w:rPr>
        <w:rFonts w:ascii="Calibri" w:eastAsia="Calibri" w:hAnsi="Calibri" w:cs="Calibri"/>
        <w:color w:val="555550"/>
        <w:sz w:val="16"/>
        <w:szCs w:val="16"/>
      </w:rPr>
      <w:fldChar w:fldCharType="separate"/>
    </w:r>
    <w:r w:rsidR="008453BF">
      <w:rPr>
        <w:rFonts w:ascii="Calibri" w:eastAsia="Calibri" w:hAnsi="Calibri" w:cs="Calibri"/>
        <w:noProof/>
        <w:color w:val="555550"/>
        <w:sz w:val="16"/>
        <w:szCs w:val="16"/>
      </w:rPr>
      <w:t>3</w:t>
    </w:r>
    <w:r>
      <w:rPr>
        <w:rFonts w:ascii="Calibri" w:eastAsia="Calibri" w:hAnsi="Calibri" w:cs="Calibri"/>
        <w:color w:val="55555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6058" w14:textId="77777777" w:rsidR="00EB6094" w:rsidRDefault="00EB6094">
      <w:r>
        <w:separator/>
      </w:r>
    </w:p>
  </w:footnote>
  <w:footnote w:type="continuationSeparator" w:id="0">
    <w:p w14:paraId="2226E083" w14:textId="77777777" w:rsidR="00EB6094" w:rsidRDefault="00EB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CE9" w14:textId="77777777" w:rsidR="003845CE" w:rsidRDefault="00000000">
    <w:pPr>
      <w:pBdr>
        <w:bottom w:val="single" w:sz="4" w:space="4" w:color="D9D2C0"/>
      </w:pBdr>
      <w:jc w:val="right"/>
    </w:pPr>
    <w:r>
      <w:rPr>
        <w:rFonts w:ascii="Calibri" w:eastAsia="Calibri" w:hAnsi="Calibri" w:cs="Calibri"/>
        <w:color w:val="555550"/>
        <w:sz w:val="16"/>
        <w:szCs w:val="16"/>
      </w:rPr>
      <w:t xml:space="preserve">BILAL TRUE NORTH CO.  </w:t>
    </w:r>
    <w:proofErr w:type="gramStart"/>
    <w:r>
      <w:rPr>
        <w:rFonts w:ascii="Calibri" w:eastAsia="Calibri" w:hAnsi="Calibri" w:cs="Calibri"/>
        <w:color w:val="555550"/>
        <w:sz w:val="16"/>
        <w:szCs w:val="16"/>
      </w:rPr>
      <w:t>|  QHSE</w:t>
    </w:r>
    <w:proofErr w:type="gramEnd"/>
    <w:r>
      <w:rPr>
        <w:rFonts w:ascii="Calibri" w:eastAsia="Calibri" w:hAnsi="Calibri" w:cs="Calibri"/>
        <w:color w:val="555550"/>
        <w:sz w:val="16"/>
        <w:szCs w:val="16"/>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A2C7D"/>
    <w:multiLevelType w:val="hybridMultilevel"/>
    <w:tmpl w:val="587C202C"/>
    <w:lvl w:ilvl="0" w:tplc="A9C0D192">
      <w:start w:val="1"/>
      <w:numFmt w:val="bullet"/>
      <w:lvlText w:val="●"/>
      <w:lvlJc w:val="left"/>
      <w:pPr>
        <w:ind w:left="720" w:hanging="360"/>
      </w:pPr>
    </w:lvl>
    <w:lvl w:ilvl="1" w:tplc="6F9C2F92">
      <w:start w:val="1"/>
      <w:numFmt w:val="bullet"/>
      <w:lvlText w:val="○"/>
      <w:lvlJc w:val="left"/>
      <w:pPr>
        <w:ind w:left="1440" w:hanging="360"/>
      </w:pPr>
    </w:lvl>
    <w:lvl w:ilvl="2" w:tplc="63C4AAF0">
      <w:start w:val="1"/>
      <w:numFmt w:val="bullet"/>
      <w:lvlText w:val="■"/>
      <w:lvlJc w:val="left"/>
      <w:pPr>
        <w:ind w:left="2160" w:hanging="360"/>
      </w:pPr>
    </w:lvl>
    <w:lvl w:ilvl="3" w:tplc="4DD2DFAA">
      <w:start w:val="1"/>
      <w:numFmt w:val="bullet"/>
      <w:lvlText w:val="●"/>
      <w:lvlJc w:val="left"/>
      <w:pPr>
        <w:ind w:left="2880" w:hanging="360"/>
      </w:pPr>
    </w:lvl>
    <w:lvl w:ilvl="4" w:tplc="3D38FF5C">
      <w:start w:val="1"/>
      <w:numFmt w:val="bullet"/>
      <w:lvlText w:val="○"/>
      <w:lvlJc w:val="left"/>
      <w:pPr>
        <w:ind w:left="3600" w:hanging="360"/>
      </w:pPr>
    </w:lvl>
    <w:lvl w:ilvl="5" w:tplc="2034BDF4">
      <w:start w:val="1"/>
      <w:numFmt w:val="bullet"/>
      <w:lvlText w:val="■"/>
      <w:lvlJc w:val="left"/>
      <w:pPr>
        <w:ind w:left="4320" w:hanging="360"/>
      </w:pPr>
    </w:lvl>
    <w:lvl w:ilvl="6" w:tplc="A940833E">
      <w:start w:val="1"/>
      <w:numFmt w:val="bullet"/>
      <w:lvlText w:val="●"/>
      <w:lvlJc w:val="left"/>
      <w:pPr>
        <w:ind w:left="5040" w:hanging="360"/>
      </w:pPr>
    </w:lvl>
    <w:lvl w:ilvl="7" w:tplc="8076B570">
      <w:start w:val="1"/>
      <w:numFmt w:val="bullet"/>
      <w:lvlText w:val="●"/>
      <w:lvlJc w:val="left"/>
      <w:pPr>
        <w:ind w:left="5760" w:hanging="360"/>
      </w:pPr>
    </w:lvl>
    <w:lvl w:ilvl="8" w:tplc="1012E338">
      <w:start w:val="1"/>
      <w:numFmt w:val="bullet"/>
      <w:lvlText w:val="●"/>
      <w:lvlJc w:val="left"/>
      <w:pPr>
        <w:ind w:left="6480" w:hanging="360"/>
      </w:pPr>
    </w:lvl>
  </w:abstractNum>
  <w:abstractNum w:abstractNumId="1" w15:restartNumberingAfterBreak="0">
    <w:nsid w:val="6B1257CC"/>
    <w:multiLevelType w:val="hybridMultilevel"/>
    <w:tmpl w:val="D2E08EA6"/>
    <w:lvl w:ilvl="0" w:tplc="0F988BE8">
      <w:start w:val="1"/>
      <w:numFmt w:val="bullet"/>
      <w:lvlText w:val="—"/>
      <w:lvlJc w:val="left"/>
      <w:pPr>
        <w:ind w:left="504" w:hanging="288"/>
      </w:pPr>
    </w:lvl>
    <w:lvl w:ilvl="1" w:tplc="B35A2898">
      <w:numFmt w:val="decimal"/>
      <w:lvlText w:val=""/>
      <w:lvlJc w:val="left"/>
    </w:lvl>
    <w:lvl w:ilvl="2" w:tplc="D0E44EB2">
      <w:numFmt w:val="decimal"/>
      <w:lvlText w:val=""/>
      <w:lvlJc w:val="left"/>
    </w:lvl>
    <w:lvl w:ilvl="3" w:tplc="5B5AED0E">
      <w:numFmt w:val="decimal"/>
      <w:lvlText w:val=""/>
      <w:lvlJc w:val="left"/>
    </w:lvl>
    <w:lvl w:ilvl="4" w:tplc="FA96EACC">
      <w:numFmt w:val="decimal"/>
      <w:lvlText w:val=""/>
      <w:lvlJc w:val="left"/>
    </w:lvl>
    <w:lvl w:ilvl="5" w:tplc="57942D78">
      <w:numFmt w:val="decimal"/>
      <w:lvlText w:val=""/>
      <w:lvlJc w:val="left"/>
    </w:lvl>
    <w:lvl w:ilvl="6" w:tplc="BED21E1E">
      <w:numFmt w:val="decimal"/>
      <w:lvlText w:val=""/>
      <w:lvlJc w:val="left"/>
    </w:lvl>
    <w:lvl w:ilvl="7" w:tplc="C2CA47CE">
      <w:numFmt w:val="decimal"/>
      <w:lvlText w:val=""/>
      <w:lvlJc w:val="left"/>
    </w:lvl>
    <w:lvl w:ilvl="8" w:tplc="3788D228">
      <w:numFmt w:val="decimal"/>
      <w:lvlText w:val=""/>
      <w:lvlJc w:val="left"/>
    </w:lvl>
  </w:abstractNum>
  <w:num w:numId="1" w16cid:durableId="695469904">
    <w:abstractNumId w:val="0"/>
    <w:lvlOverride w:ilvl="0">
      <w:startOverride w:val="1"/>
    </w:lvlOverride>
  </w:num>
  <w:num w:numId="2" w16cid:durableId="124467994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CE"/>
    <w:rsid w:val="003845CE"/>
    <w:rsid w:val="008453BF"/>
    <w:rsid w:val="00DC79B6"/>
    <w:rsid w:val="00EB60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F466"/>
  <w15:docId w15:val="{2FE9C980-038A-4D5C-90FD-5C741B3E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Bilal Benyaich</cp:lastModifiedBy>
  <cp:revision>2</cp:revision>
  <dcterms:created xsi:type="dcterms:W3CDTF">2026-07-22T20:02:00Z</dcterms:created>
  <dcterms:modified xsi:type="dcterms:W3CDTF">2026-07-22T20:02:00Z</dcterms:modified>
</cp:coreProperties>
</file>